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Миненко 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ст.15.33 КоАП РФ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Колосницын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исполняя должностные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24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ОСФР по ХМАО-Югре,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Колосницын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Форма 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ОСФР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Кор/счет 40102810245370000007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8600</w:t>
      </w:r>
      <w:r>
        <w:rPr>
          <w:rFonts w:ascii="Times New Roman" w:eastAsia="Times New Roman" w:hAnsi="Times New Roman" w:cs="Times New Roman"/>
          <w:sz w:val="28"/>
          <w:szCs w:val="28"/>
        </w:rPr>
        <w:t>0403240072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  <w:sz w:val="28"/>
        <w:szCs w:val="28"/>
      </w:rPr>
      <w:t>д</w:t>
    </w:r>
    <w:r>
      <w:rPr>
        <w:rFonts w:ascii="Times New Roman" w:eastAsia="Times New Roman" w:hAnsi="Times New Roman" w:cs="Times New Roman"/>
        <w:sz w:val="28"/>
        <w:szCs w:val="28"/>
      </w:rPr>
      <w:t>ело №5-579</w:t>
    </w:r>
    <w:r>
      <w:rPr>
        <w:rFonts w:ascii="Times New Roman" w:eastAsia="Times New Roman" w:hAnsi="Times New Roman" w:cs="Times New Roman"/>
        <w:sz w:val="28"/>
        <w:szCs w:val="28"/>
      </w:rPr>
      <w:t>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